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EDF21" w14:textId="77777777" w:rsidR="00216F30" w:rsidRPr="00CD4AA8" w:rsidRDefault="00CD4AA8">
      <w:pPr>
        <w:jc w:val="center"/>
        <w:rPr>
          <w:rFonts w:cstheme="minorHAnsi"/>
          <w:color w:val="auto"/>
          <w:sz w:val="24"/>
          <w:szCs w:val="24"/>
        </w:rPr>
      </w:pPr>
      <w:r w:rsidRPr="00CD4AA8">
        <w:rPr>
          <w:rFonts w:cstheme="minorHAnsi"/>
          <w:color w:val="auto"/>
          <w:sz w:val="24"/>
          <w:szCs w:val="24"/>
        </w:rPr>
        <w:t>PDL 125</w:t>
      </w:r>
    </w:p>
    <w:p w14:paraId="6B52BBA5" w14:textId="77777777" w:rsidR="00216F30" w:rsidRPr="00CD4AA8" w:rsidRDefault="00CD4AA8">
      <w:pPr>
        <w:jc w:val="center"/>
        <w:rPr>
          <w:rFonts w:cstheme="minorHAnsi"/>
          <w:color w:val="auto"/>
          <w:sz w:val="24"/>
          <w:szCs w:val="24"/>
        </w:rPr>
      </w:pPr>
      <w:r w:rsidRPr="00CD4AA8">
        <w:rPr>
          <w:rFonts w:cstheme="minorHAnsi"/>
          <w:color w:val="auto"/>
          <w:sz w:val="24"/>
          <w:szCs w:val="24"/>
        </w:rPr>
        <w:t>“Assestamento al Bilancio 2020 - 2022 con modifiche di leggi regionali” e del relativo documento tecnico di accompagnamento”</w:t>
      </w:r>
    </w:p>
    <w:p w14:paraId="5FF58DCB" w14:textId="77777777" w:rsidR="00216F30" w:rsidRPr="00CD4AA8" w:rsidRDefault="00CD4AA8">
      <w:pPr>
        <w:jc w:val="center"/>
        <w:rPr>
          <w:rFonts w:cstheme="minorHAnsi"/>
          <w:color w:val="auto"/>
          <w:sz w:val="24"/>
          <w:szCs w:val="24"/>
        </w:rPr>
      </w:pPr>
      <w:r w:rsidRPr="00CD4AA8">
        <w:rPr>
          <w:rFonts w:cstheme="minorHAnsi"/>
          <w:color w:val="auto"/>
          <w:sz w:val="24"/>
          <w:szCs w:val="24"/>
        </w:rPr>
        <w:t>Ordine del Giorno</w:t>
      </w:r>
    </w:p>
    <w:p w14:paraId="6A4D9177" w14:textId="77777777" w:rsidR="00216F30" w:rsidRPr="00CD4AA8" w:rsidRDefault="00216F30">
      <w:pPr>
        <w:rPr>
          <w:rFonts w:cstheme="minorHAnsi"/>
          <w:color w:val="auto"/>
          <w:sz w:val="24"/>
          <w:szCs w:val="24"/>
        </w:rPr>
      </w:pPr>
    </w:p>
    <w:p w14:paraId="3CD27193" w14:textId="77777777" w:rsidR="00216F30" w:rsidRPr="00CD4AA8" w:rsidRDefault="00CD4AA8">
      <w:pPr>
        <w:rPr>
          <w:rFonts w:cstheme="minorHAnsi"/>
          <w:b/>
          <w:bCs/>
          <w:color w:val="auto"/>
          <w:sz w:val="24"/>
          <w:szCs w:val="24"/>
        </w:rPr>
      </w:pPr>
      <w:r w:rsidRPr="00CD4AA8">
        <w:rPr>
          <w:rFonts w:cstheme="minorHAnsi"/>
          <w:b/>
          <w:bCs/>
          <w:color w:val="auto"/>
          <w:sz w:val="24"/>
          <w:szCs w:val="24"/>
        </w:rPr>
        <w:t>Oggetto: promozione di un’indagine esplorativa finalizzata all’individuazione di soggetti aggregatori per il digitale</w:t>
      </w:r>
    </w:p>
    <w:p w14:paraId="705BEB17" w14:textId="77777777" w:rsidR="00216F30" w:rsidRPr="00CD4AA8" w:rsidRDefault="00216F30">
      <w:pPr>
        <w:rPr>
          <w:rFonts w:cstheme="minorHAnsi"/>
          <w:color w:val="auto"/>
          <w:sz w:val="24"/>
          <w:szCs w:val="24"/>
        </w:rPr>
      </w:pPr>
    </w:p>
    <w:p w14:paraId="1156D7A1" w14:textId="77777777" w:rsidR="00216F30" w:rsidRPr="00CD4AA8" w:rsidRDefault="00CD4AA8">
      <w:pPr>
        <w:jc w:val="center"/>
        <w:rPr>
          <w:rFonts w:cstheme="minorHAnsi"/>
          <w:b/>
          <w:bCs/>
          <w:color w:val="auto"/>
          <w:sz w:val="24"/>
          <w:szCs w:val="24"/>
        </w:rPr>
      </w:pPr>
      <w:r w:rsidRPr="00CD4AA8">
        <w:rPr>
          <w:rFonts w:cstheme="minorHAnsi"/>
          <w:b/>
          <w:bCs/>
          <w:color w:val="auto"/>
          <w:sz w:val="24"/>
          <w:szCs w:val="24"/>
        </w:rPr>
        <w:t>Il Consiglio Regionale</w:t>
      </w:r>
    </w:p>
    <w:p w14:paraId="4B9B0225" w14:textId="77777777" w:rsidR="00216F30" w:rsidRPr="00CD4AA8" w:rsidRDefault="00CD4AA8">
      <w:pPr>
        <w:rPr>
          <w:rFonts w:cstheme="minorHAnsi"/>
          <w:b/>
          <w:bCs/>
          <w:color w:val="auto"/>
          <w:sz w:val="24"/>
          <w:szCs w:val="24"/>
        </w:rPr>
      </w:pPr>
      <w:r w:rsidRPr="00CD4AA8">
        <w:rPr>
          <w:rFonts w:cstheme="minorHAnsi"/>
          <w:b/>
          <w:bCs/>
          <w:color w:val="auto"/>
          <w:sz w:val="24"/>
          <w:szCs w:val="24"/>
        </w:rPr>
        <w:t>Premesso che:</w:t>
      </w:r>
    </w:p>
    <w:p w14:paraId="14AE2A4C" w14:textId="77777777" w:rsidR="00216F30" w:rsidRPr="00CD4AA8" w:rsidRDefault="00CD4AA8">
      <w:pPr>
        <w:numPr>
          <w:ilvl w:val="0"/>
          <w:numId w:val="1"/>
        </w:numPr>
        <w:rPr>
          <w:rFonts w:cstheme="minorHAnsi"/>
          <w:color w:val="auto"/>
          <w:sz w:val="24"/>
          <w:szCs w:val="24"/>
        </w:rPr>
      </w:pPr>
      <w:r w:rsidRPr="00CD4AA8">
        <w:rPr>
          <w:rFonts w:cstheme="minorHAnsi"/>
          <w:color w:val="auto"/>
          <w:sz w:val="24"/>
          <w:szCs w:val="24"/>
        </w:rPr>
        <w:t>il rinnovamento della macchina amministrativa della Pubblica Amministrazione e l'informatizzazione dei processi di produzione dei servizi sono stati individuati ad ogni livello di Governo come una priorità strategica per la crescita economica, la competitività, lo sviluppo ed il progresso sociale nel suo insieme;</w:t>
      </w:r>
    </w:p>
    <w:p w14:paraId="78996BD0" w14:textId="77777777" w:rsidR="00216F30" w:rsidRPr="00CD4AA8" w:rsidRDefault="00CD4AA8">
      <w:pPr>
        <w:numPr>
          <w:ilvl w:val="0"/>
          <w:numId w:val="1"/>
        </w:numPr>
        <w:rPr>
          <w:rFonts w:cstheme="minorHAnsi"/>
          <w:color w:val="auto"/>
          <w:sz w:val="24"/>
          <w:szCs w:val="24"/>
        </w:rPr>
      </w:pPr>
      <w:r w:rsidRPr="00CD4AA8">
        <w:rPr>
          <w:rFonts w:cstheme="minorHAnsi"/>
          <w:color w:val="auto"/>
          <w:sz w:val="24"/>
          <w:szCs w:val="24"/>
        </w:rPr>
        <w:t xml:space="preserve">risulta pertanto fondamentale accompagnare i processi </w:t>
      </w:r>
      <w:proofErr w:type="gramStart"/>
      <w:r w:rsidRPr="00CD4AA8">
        <w:rPr>
          <w:rFonts w:cstheme="minorHAnsi"/>
          <w:color w:val="auto"/>
          <w:sz w:val="24"/>
          <w:szCs w:val="24"/>
        </w:rPr>
        <w:t>di  modernizzazione</w:t>
      </w:r>
      <w:proofErr w:type="gramEnd"/>
      <w:r w:rsidRPr="00CD4AA8">
        <w:rPr>
          <w:rFonts w:cstheme="minorHAnsi"/>
          <w:color w:val="auto"/>
          <w:sz w:val="24"/>
          <w:szCs w:val="24"/>
        </w:rPr>
        <w:t xml:space="preserve"> e trasformazione digitale, adoperandosi per l’implementazione dei processi di informatizzazione degli Enti pubblici, per la digitalizzazione degli atti amministrativi, per l’integrazione tra i dati pubblici e la loro messa a disposizione all’esterno;</w:t>
      </w:r>
    </w:p>
    <w:p w14:paraId="30CA1255" w14:textId="77777777" w:rsidR="00216F30" w:rsidRPr="00CD4AA8" w:rsidRDefault="00CD4AA8">
      <w:pPr>
        <w:rPr>
          <w:rFonts w:cstheme="minorHAnsi"/>
          <w:b/>
          <w:bCs/>
          <w:color w:val="auto"/>
          <w:sz w:val="24"/>
          <w:szCs w:val="24"/>
        </w:rPr>
      </w:pPr>
      <w:r w:rsidRPr="00CD4AA8">
        <w:rPr>
          <w:rFonts w:cstheme="minorHAnsi"/>
          <w:b/>
          <w:bCs/>
          <w:color w:val="auto"/>
          <w:sz w:val="24"/>
          <w:szCs w:val="24"/>
        </w:rPr>
        <w:t>Considerato che:</w:t>
      </w:r>
    </w:p>
    <w:p w14:paraId="532E25D0" w14:textId="39E14C86" w:rsidR="00216F30" w:rsidRDefault="00CD4AA8">
      <w:pPr>
        <w:pStyle w:val="Paragrafoelenco"/>
        <w:numPr>
          <w:ilvl w:val="0"/>
          <w:numId w:val="1"/>
        </w:numPr>
        <w:rPr>
          <w:rFonts w:cstheme="minorHAnsi"/>
          <w:color w:val="auto"/>
          <w:sz w:val="24"/>
          <w:szCs w:val="24"/>
        </w:rPr>
      </w:pPr>
      <w:r w:rsidRPr="00CD4AA8">
        <w:rPr>
          <w:rFonts w:cstheme="minorHAnsi"/>
          <w:color w:val="auto"/>
          <w:sz w:val="24"/>
          <w:szCs w:val="24"/>
        </w:rPr>
        <w:t>una delle principali difficoltà che emerge dall'attuale organizzazione dei sistemi informativi della Pubblica Amministrazione riguarda la ridotta dimensione delle infrastrutture sistemistiche presenti presso gli Enti, segnatamente dai Comuni più piccoli, che si trovano nell’impossibilità di sostenere i costi per la gestione degli apparati tecnologici e per lo sviluppo delle soluzioni applicative necessarie a soddisfare i vincoli normativi e le evoluzioni tecnologiche;</w:t>
      </w:r>
    </w:p>
    <w:p w14:paraId="13417325" w14:textId="77777777" w:rsidR="009A32C6" w:rsidRPr="00CD4AA8" w:rsidRDefault="009A32C6" w:rsidP="009A32C6">
      <w:pPr>
        <w:pStyle w:val="Paragrafoelenco"/>
        <w:rPr>
          <w:rFonts w:cstheme="minorHAnsi"/>
          <w:color w:val="auto"/>
          <w:sz w:val="24"/>
          <w:szCs w:val="24"/>
        </w:rPr>
      </w:pPr>
      <w:bookmarkStart w:id="0" w:name="_GoBack"/>
      <w:bookmarkEnd w:id="0"/>
    </w:p>
    <w:p w14:paraId="2C6D7BB9" w14:textId="77777777" w:rsidR="00216F30" w:rsidRPr="00CD4AA8" w:rsidRDefault="00CD4AA8">
      <w:pPr>
        <w:pStyle w:val="Paragrafoelenco"/>
        <w:numPr>
          <w:ilvl w:val="0"/>
          <w:numId w:val="1"/>
        </w:numPr>
        <w:rPr>
          <w:rFonts w:cstheme="minorHAnsi"/>
          <w:color w:val="auto"/>
          <w:sz w:val="24"/>
          <w:szCs w:val="24"/>
        </w:rPr>
      </w:pPr>
      <w:r w:rsidRPr="00CD4AA8">
        <w:rPr>
          <w:rFonts w:cstheme="minorHAnsi"/>
          <w:color w:val="auto"/>
          <w:sz w:val="24"/>
          <w:szCs w:val="24"/>
        </w:rPr>
        <w:t xml:space="preserve">anche gli Enti Locali di maggiori dimensioni esprimono l'esigenza di razionalizzazione delle infrastrutture materiali e la necessità di disporre di una dorsale di sistemi, applicazioni, servizi a cui affidare il compito di coadiuvare la gestione delle infrastrutture locali sulla base di </w:t>
      </w:r>
      <w:r w:rsidRPr="00CD4AA8">
        <w:rPr>
          <w:rFonts w:cstheme="minorHAnsi"/>
          <w:i/>
          <w:color w:val="auto"/>
          <w:sz w:val="24"/>
          <w:szCs w:val="24"/>
        </w:rPr>
        <w:t xml:space="preserve">standard </w:t>
      </w:r>
      <w:r w:rsidRPr="00CD4AA8">
        <w:rPr>
          <w:rFonts w:cstheme="minorHAnsi"/>
          <w:color w:val="auto"/>
          <w:sz w:val="24"/>
          <w:szCs w:val="24"/>
        </w:rPr>
        <w:t>condivisi ed interoperabilità dei servizi;</w:t>
      </w:r>
    </w:p>
    <w:p w14:paraId="7F3035E7" w14:textId="77777777" w:rsidR="00216F30" w:rsidRPr="00CD4AA8" w:rsidRDefault="00216F30">
      <w:pPr>
        <w:pStyle w:val="Paragrafoelenco"/>
        <w:ind w:left="1440"/>
        <w:rPr>
          <w:rFonts w:cstheme="minorHAnsi"/>
          <w:color w:val="auto"/>
          <w:sz w:val="24"/>
          <w:szCs w:val="24"/>
        </w:rPr>
      </w:pPr>
    </w:p>
    <w:p w14:paraId="7790ECFB" w14:textId="77777777" w:rsidR="00216F30" w:rsidRPr="00CD4AA8" w:rsidRDefault="00CD4AA8">
      <w:pPr>
        <w:pStyle w:val="Paragrafoelenco"/>
        <w:ind w:left="0"/>
        <w:rPr>
          <w:rFonts w:cstheme="minorHAnsi"/>
          <w:color w:val="auto"/>
          <w:sz w:val="24"/>
          <w:szCs w:val="24"/>
        </w:rPr>
      </w:pPr>
      <w:r w:rsidRPr="00CD4AA8">
        <w:rPr>
          <w:rFonts w:cstheme="minorHAnsi"/>
          <w:b/>
          <w:bCs/>
          <w:color w:val="auto"/>
          <w:sz w:val="24"/>
          <w:szCs w:val="24"/>
        </w:rPr>
        <w:t>Ritenuto pertanto che:</w:t>
      </w:r>
    </w:p>
    <w:p w14:paraId="0DE04203" w14:textId="77777777" w:rsidR="00216F30" w:rsidRPr="00CD4AA8" w:rsidRDefault="00216F30">
      <w:pPr>
        <w:pStyle w:val="Paragrafoelenco"/>
        <w:ind w:left="0"/>
        <w:rPr>
          <w:rFonts w:cstheme="minorHAnsi"/>
          <w:b/>
          <w:bCs/>
          <w:color w:val="auto"/>
          <w:sz w:val="24"/>
          <w:szCs w:val="24"/>
        </w:rPr>
      </w:pPr>
    </w:p>
    <w:p w14:paraId="6F51250F" w14:textId="77777777" w:rsidR="00216F30" w:rsidRPr="00CD4AA8" w:rsidRDefault="00CD4AA8">
      <w:pPr>
        <w:pStyle w:val="Paragrafoelenco"/>
        <w:numPr>
          <w:ilvl w:val="0"/>
          <w:numId w:val="1"/>
        </w:numPr>
        <w:rPr>
          <w:rFonts w:cstheme="minorHAnsi"/>
          <w:color w:val="auto"/>
          <w:sz w:val="24"/>
          <w:szCs w:val="24"/>
        </w:rPr>
      </w:pPr>
      <w:r w:rsidRPr="00CD4AA8">
        <w:rPr>
          <w:rFonts w:cstheme="minorHAnsi"/>
          <w:color w:val="auto"/>
          <w:sz w:val="24"/>
          <w:szCs w:val="24"/>
        </w:rPr>
        <w:t xml:space="preserve">Regione Lombardia debba adoperarsi per la ricerca e l’identificazione di specifiche realtà aggregative tra gli enti pubblici territoriali regionali in ambito digitale, che siano di supporto agli Enti Locali nelle fasi di progettazione, gestione e fornitura di servizi a </w:t>
      </w:r>
      <w:r w:rsidRPr="00CD4AA8">
        <w:rPr>
          <w:rFonts w:cstheme="minorHAnsi"/>
          <w:color w:val="auto"/>
          <w:sz w:val="24"/>
          <w:szCs w:val="24"/>
        </w:rPr>
        <w:lastRenderedPageBreak/>
        <w:t>contenuto tecnologico, coordinando la trasformazione digitale dei territori di riferimento con superamento dei deficit digitali delle pubbliche amministrazioni;</w:t>
      </w:r>
    </w:p>
    <w:p w14:paraId="1707A497" w14:textId="77777777" w:rsidR="00216F30" w:rsidRPr="00CD4AA8" w:rsidRDefault="00216F30">
      <w:pPr>
        <w:pStyle w:val="Paragrafoelenco"/>
        <w:rPr>
          <w:rFonts w:cstheme="minorHAnsi"/>
          <w:color w:val="auto"/>
          <w:sz w:val="24"/>
          <w:szCs w:val="24"/>
        </w:rPr>
      </w:pPr>
    </w:p>
    <w:p w14:paraId="1B41FD50" w14:textId="77777777" w:rsidR="00216F30" w:rsidRPr="00CD4AA8" w:rsidRDefault="00CD4AA8">
      <w:pPr>
        <w:pStyle w:val="Paragrafoelenco"/>
        <w:rPr>
          <w:rFonts w:cstheme="minorHAnsi"/>
          <w:color w:val="auto"/>
          <w:sz w:val="24"/>
          <w:szCs w:val="24"/>
        </w:rPr>
      </w:pPr>
      <w:r w:rsidRPr="00CD4AA8">
        <w:rPr>
          <w:rFonts w:cstheme="minorHAnsi"/>
          <w:b/>
          <w:bCs/>
          <w:color w:val="auto"/>
          <w:sz w:val="24"/>
          <w:szCs w:val="24"/>
        </w:rPr>
        <w:t xml:space="preserve">Visto: </w:t>
      </w:r>
    </w:p>
    <w:p w14:paraId="4D9FB257" w14:textId="77777777" w:rsidR="00216F30" w:rsidRPr="00CD4AA8" w:rsidRDefault="00216F30">
      <w:pPr>
        <w:pStyle w:val="Paragrafoelenco"/>
        <w:rPr>
          <w:rFonts w:cstheme="minorHAnsi"/>
          <w:b/>
          <w:bCs/>
          <w:color w:val="auto"/>
          <w:sz w:val="24"/>
          <w:szCs w:val="24"/>
        </w:rPr>
      </w:pPr>
    </w:p>
    <w:p w14:paraId="02898A00" w14:textId="77777777" w:rsidR="00216F30" w:rsidRPr="00CD4AA8" w:rsidRDefault="00CD4AA8">
      <w:pPr>
        <w:pStyle w:val="Paragrafoelenco"/>
        <w:numPr>
          <w:ilvl w:val="0"/>
          <w:numId w:val="2"/>
        </w:numPr>
        <w:rPr>
          <w:rFonts w:cstheme="minorHAnsi"/>
          <w:color w:val="auto"/>
          <w:sz w:val="24"/>
          <w:szCs w:val="24"/>
        </w:rPr>
      </w:pPr>
      <w:r w:rsidRPr="00CD4AA8">
        <w:rPr>
          <w:rFonts w:cstheme="minorHAnsi"/>
          <w:color w:val="auto"/>
          <w:sz w:val="24"/>
          <w:szCs w:val="24"/>
        </w:rPr>
        <w:t>il Programma strategico per la semplificazione e trasformazione digitale dell’XI Legislatura approvato con DGR XI / 1042 del 17/12/2018;</w:t>
      </w:r>
    </w:p>
    <w:p w14:paraId="717FE608" w14:textId="77777777" w:rsidR="00216F30" w:rsidRPr="00CD4AA8" w:rsidRDefault="00CD4AA8">
      <w:pPr>
        <w:rPr>
          <w:rFonts w:cstheme="minorHAnsi"/>
          <w:color w:val="auto"/>
          <w:sz w:val="24"/>
          <w:szCs w:val="24"/>
        </w:rPr>
      </w:pPr>
      <w:r w:rsidRPr="00CD4AA8">
        <w:rPr>
          <w:rFonts w:cstheme="minorHAnsi"/>
          <w:b/>
          <w:bCs/>
          <w:color w:val="auto"/>
          <w:sz w:val="24"/>
          <w:szCs w:val="24"/>
        </w:rPr>
        <w:t>Visto</w:t>
      </w:r>
      <w:r w:rsidRPr="00CD4AA8">
        <w:rPr>
          <w:rFonts w:cstheme="minorHAnsi"/>
          <w:color w:val="auto"/>
          <w:sz w:val="24"/>
          <w:szCs w:val="24"/>
        </w:rPr>
        <w:t xml:space="preserve"> il progetto di legge 125 “Assestamento al Bilancio 2020 - 2022 con modifiche di leggi regionali” e del relativo documento tecnico di accompagnamento”,</w:t>
      </w:r>
    </w:p>
    <w:p w14:paraId="52A8BE6A" w14:textId="77777777" w:rsidR="00216F30" w:rsidRPr="00CD4AA8" w:rsidRDefault="00216F30">
      <w:pPr>
        <w:rPr>
          <w:rFonts w:cstheme="minorHAnsi"/>
          <w:color w:val="auto"/>
          <w:sz w:val="24"/>
          <w:szCs w:val="24"/>
        </w:rPr>
      </w:pPr>
    </w:p>
    <w:p w14:paraId="2E9DBC81" w14:textId="77777777" w:rsidR="00216F30" w:rsidRPr="00CD4AA8" w:rsidRDefault="00CD4AA8">
      <w:pPr>
        <w:jc w:val="center"/>
        <w:rPr>
          <w:rFonts w:cstheme="minorHAnsi"/>
          <w:b/>
          <w:bCs/>
          <w:color w:val="auto"/>
          <w:sz w:val="24"/>
          <w:szCs w:val="24"/>
        </w:rPr>
      </w:pPr>
      <w:r w:rsidRPr="00CD4AA8">
        <w:rPr>
          <w:rFonts w:cstheme="minorHAnsi"/>
          <w:b/>
          <w:bCs/>
          <w:color w:val="auto"/>
          <w:sz w:val="24"/>
          <w:szCs w:val="24"/>
        </w:rPr>
        <w:t>Impegna la Giunta regionale</w:t>
      </w:r>
    </w:p>
    <w:p w14:paraId="74556C17" w14:textId="77777777" w:rsidR="00216F30" w:rsidRPr="00CD4AA8" w:rsidRDefault="00CD4AA8">
      <w:pPr>
        <w:jc w:val="both"/>
        <w:rPr>
          <w:rFonts w:cstheme="minorHAnsi"/>
          <w:color w:val="auto"/>
          <w:sz w:val="24"/>
          <w:szCs w:val="24"/>
        </w:rPr>
      </w:pPr>
      <w:r w:rsidRPr="00CD4AA8">
        <w:rPr>
          <w:rFonts w:cstheme="minorHAnsi"/>
          <w:color w:val="auto"/>
          <w:sz w:val="24"/>
          <w:szCs w:val="24"/>
        </w:rPr>
        <w:t>a operare nell’ambito del bilancio regionale al fine di prevedere all’intero dell’Agenda Digitale i Centri di Competenza Territoriali (</w:t>
      </w:r>
      <w:proofErr w:type="spellStart"/>
      <w:r w:rsidRPr="00CD4AA8">
        <w:rPr>
          <w:rFonts w:cstheme="minorHAnsi"/>
          <w:color w:val="auto"/>
          <w:sz w:val="24"/>
          <w:szCs w:val="24"/>
        </w:rPr>
        <w:t>CdCT</w:t>
      </w:r>
      <w:proofErr w:type="spellEnd"/>
      <w:r w:rsidRPr="00CD4AA8">
        <w:rPr>
          <w:rFonts w:cstheme="minorHAnsi"/>
          <w:color w:val="auto"/>
          <w:sz w:val="24"/>
          <w:szCs w:val="24"/>
        </w:rPr>
        <w:t xml:space="preserve">), in linea con quanto previsto dal Piano triennale dell’informatica per la pubblica amministrazione 2019-2021, nonché ad avviare entro il 2020 un’indagine esplorativa finalizzata all’individuazione di soggetti aggregatori territoriali per il digitale. </w:t>
      </w:r>
    </w:p>
    <w:p w14:paraId="0C209649" w14:textId="77777777" w:rsidR="00216F30" w:rsidRPr="00CD4AA8" w:rsidRDefault="00216F30">
      <w:pPr>
        <w:jc w:val="both"/>
        <w:rPr>
          <w:rFonts w:cstheme="minorHAnsi"/>
          <w:color w:val="auto"/>
          <w:sz w:val="24"/>
          <w:szCs w:val="24"/>
        </w:rPr>
      </w:pPr>
    </w:p>
    <w:p w14:paraId="59321F99" w14:textId="77777777" w:rsidR="00216F30" w:rsidRPr="00CD4AA8" w:rsidRDefault="00CD4AA8">
      <w:pPr>
        <w:jc w:val="right"/>
        <w:rPr>
          <w:rFonts w:cstheme="minorHAnsi"/>
          <w:color w:val="auto"/>
          <w:sz w:val="24"/>
          <w:szCs w:val="24"/>
        </w:rPr>
      </w:pPr>
      <w:r w:rsidRPr="00CD4AA8">
        <w:rPr>
          <w:rFonts w:cstheme="minorHAnsi"/>
          <w:color w:val="auto"/>
          <w:sz w:val="24"/>
          <w:szCs w:val="24"/>
        </w:rPr>
        <w:t>f.to Matteo Piloni</w:t>
      </w:r>
    </w:p>
    <w:p w14:paraId="72F30972" w14:textId="77777777" w:rsidR="00216F30" w:rsidRDefault="00216F30">
      <w:pPr>
        <w:jc w:val="right"/>
      </w:pPr>
    </w:p>
    <w:sectPr w:rsidR="00216F30">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C7497"/>
    <w:multiLevelType w:val="multilevel"/>
    <w:tmpl w:val="430CA8BA"/>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F6724F2"/>
    <w:multiLevelType w:val="multilevel"/>
    <w:tmpl w:val="1E2CCC2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785245B"/>
    <w:multiLevelType w:val="multilevel"/>
    <w:tmpl w:val="CEFAE0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16F30"/>
    <w:rsid w:val="00216F30"/>
    <w:rsid w:val="009A32C6"/>
    <w:rsid w:val="00CD4AA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172B"/>
  <w15:docId w15:val="{0FBB0417-FE9B-41B3-95DE-6162C231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23FB"/>
    <w:pPr>
      <w:spacing w:after="200" w:line="276"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Punti">
    <w:name w:val="Punti"/>
    <w:qFormat/>
    <w:rPr>
      <w:rFonts w:ascii="OpenSymbol" w:eastAsia="OpenSymbol" w:hAnsi="OpenSymbol" w:cs="OpenSymbol"/>
    </w:rPr>
  </w:style>
  <w:style w:type="character" w:customStyle="1" w:styleId="ListLabel7">
    <w:name w:val="ListLabel 7"/>
    <w:qFormat/>
    <w:rPr>
      <w:rFonts w:ascii="Calibri" w:hAnsi="Calibri" w:cs="Symbol"/>
      <w:sz w:val="22"/>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ascii="Calibri" w:hAnsi="Calibri" w:cs="OpenSymbol"/>
      <w:sz w:val="22"/>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024F59"/>
    <w:pPr>
      <w:ind w:left="720"/>
      <w:contextualSpacing/>
    </w:pPr>
  </w:style>
  <w:style w:type="paragraph" w:customStyle="1" w:styleId="Default">
    <w:name w:val="Default"/>
    <w:qFormat/>
    <w:pPr>
      <w:widowControl w:val="0"/>
    </w:pPr>
    <w:rPr>
      <w:rFonts w:ascii="Arial" w:eastAsia="Calibri"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standard di PowerPoint</dc:title>
  <dc:subject/>
  <dc:creator>Boaretto, Damiano</dc:creator>
  <dc:description/>
  <cp:lastModifiedBy>Bergamaschi Fabio</cp:lastModifiedBy>
  <cp:revision>51</cp:revision>
  <dcterms:created xsi:type="dcterms:W3CDTF">2019-09-18T17:35:00Z</dcterms:created>
  <dcterms:modified xsi:type="dcterms:W3CDTF">2020-07-23T08:59:00Z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