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AB" w:rsidRPr="0063685C" w:rsidRDefault="00616FAB" w:rsidP="00962544">
      <w:pPr>
        <w:jc w:val="center"/>
        <w:rPr>
          <w:rFonts w:cstheme="minorHAnsi"/>
        </w:rPr>
      </w:pPr>
      <w:r w:rsidRPr="0063685C">
        <w:rPr>
          <w:rFonts w:cstheme="minorHAnsi"/>
          <w:noProof/>
          <w:lang w:eastAsia="it-IT"/>
        </w:rPr>
        <w:drawing>
          <wp:inline distT="0" distB="0" distL="0" distR="0">
            <wp:extent cx="1666875" cy="866775"/>
            <wp:effectExtent l="0" t="0" r="0" b="0"/>
            <wp:docPr id="2" name="Immagine 2" descr="Consiglio Regionale Lombardi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FAB" w:rsidRPr="0063685C" w:rsidRDefault="00616FAB" w:rsidP="098ED0ED">
      <w:pPr>
        <w:jc w:val="center"/>
        <w:rPr>
          <w:rFonts w:cstheme="minorHAnsi"/>
        </w:rPr>
      </w:pPr>
    </w:p>
    <w:p w:rsidR="00616FAB" w:rsidRPr="0063685C" w:rsidRDefault="20CB0473" w:rsidP="098ED0ED">
      <w:pPr>
        <w:tabs>
          <w:tab w:val="left" w:pos="5475"/>
        </w:tabs>
        <w:jc w:val="center"/>
        <w:rPr>
          <w:rFonts w:eastAsia="Corbel" w:cstheme="minorHAnsi"/>
          <w:b/>
          <w:bCs/>
        </w:rPr>
      </w:pPr>
      <w:r w:rsidRPr="0063685C">
        <w:rPr>
          <w:rFonts w:eastAsia="Corbel" w:cstheme="minorHAnsi"/>
          <w:b/>
          <w:bCs/>
        </w:rPr>
        <w:t xml:space="preserve">PROGETTO DI LEGGE N. </w:t>
      </w:r>
      <w:r w:rsidR="006B0365">
        <w:rPr>
          <w:rFonts w:eastAsia="Corbel" w:cstheme="minorHAnsi"/>
          <w:b/>
          <w:bCs/>
        </w:rPr>
        <w:t>246</w:t>
      </w:r>
    </w:p>
    <w:p w:rsidR="006B0365" w:rsidRPr="006B0365" w:rsidRDefault="006B0365" w:rsidP="006B0365">
      <w:pPr>
        <w:jc w:val="center"/>
        <w:rPr>
          <w:rFonts w:eastAsia="Corbel" w:cstheme="minorHAnsi"/>
          <w:b/>
          <w:bCs/>
        </w:rPr>
      </w:pPr>
      <w:r w:rsidRPr="006B0365">
        <w:rPr>
          <w:rFonts w:eastAsia="Corbel" w:cstheme="minorHAnsi"/>
          <w:b/>
          <w:bCs/>
        </w:rPr>
        <w:t>“Bilancio di previsione 2023-2025” e relativo documento tecnico di accompagnamento</w:t>
      </w:r>
    </w:p>
    <w:p w:rsidR="10D626B0" w:rsidRPr="0063685C" w:rsidRDefault="20CB0473" w:rsidP="00491293">
      <w:pPr>
        <w:jc w:val="center"/>
        <w:rPr>
          <w:rFonts w:eastAsia="Corbel" w:cstheme="minorHAnsi"/>
          <w:b/>
          <w:bCs/>
        </w:rPr>
      </w:pPr>
      <w:r w:rsidRPr="0063685C">
        <w:rPr>
          <w:rFonts w:eastAsia="Corbel" w:cstheme="minorHAnsi"/>
          <w:b/>
          <w:bCs/>
        </w:rPr>
        <w:t>ORDINE DEL GIORNO</w:t>
      </w:r>
    </w:p>
    <w:p w:rsidR="00491293" w:rsidRPr="0039285A" w:rsidRDefault="008A69C0" w:rsidP="0039285A">
      <w:pPr>
        <w:jc w:val="center"/>
        <w:rPr>
          <w:rFonts w:eastAsia="Corbel" w:cstheme="minorHAnsi"/>
          <w:b/>
          <w:bCs/>
        </w:rPr>
      </w:pPr>
      <w:r w:rsidRPr="0039285A">
        <w:rPr>
          <w:rFonts w:eastAsia="Corbel" w:cstheme="minorHAnsi"/>
          <w:b/>
          <w:bCs/>
        </w:rPr>
        <w:t>Oggetto</w:t>
      </w:r>
      <w:r w:rsidR="00FF7E13" w:rsidRPr="0039285A">
        <w:rPr>
          <w:rFonts w:eastAsia="Corbel" w:cstheme="minorHAnsi"/>
          <w:b/>
          <w:bCs/>
        </w:rPr>
        <w:t xml:space="preserve">: </w:t>
      </w:r>
      <w:r w:rsidR="005953BE">
        <w:rPr>
          <w:rFonts w:eastAsia="Corbel" w:cstheme="minorHAnsi"/>
          <w:b/>
          <w:bCs/>
        </w:rPr>
        <w:t>Attivazione della tratta ferroviaria per il trasporto dei passeggeri “Brescia-Cremona-Piacenza”</w:t>
      </w:r>
    </w:p>
    <w:p w:rsidR="10D626B0" w:rsidRPr="0063685C" w:rsidRDefault="53FD9095" w:rsidP="00491293">
      <w:pPr>
        <w:jc w:val="center"/>
        <w:rPr>
          <w:rFonts w:eastAsia="Corbel" w:cstheme="minorHAnsi"/>
          <w:b/>
          <w:bCs/>
        </w:rPr>
      </w:pPr>
      <w:r w:rsidRPr="0063685C">
        <w:rPr>
          <w:rFonts w:eastAsia="Corbel" w:cstheme="minorHAnsi"/>
          <w:b/>
          <w:bCs/>
        </w:rPr>
        <w:t>Il Consiglio Regionale</w:t>
      </w:r>
    </w:p>
    <w:p w:rsidR="53FD9095" w:rsidRPr="0063685C" w:rsidRDefault="008A69C0" w:rsidP="10D626B0">
      <w:pPr>
        <w:jc w:val="both"/>
        <w:rPr>
          <w:rFonts w:eastAsia="Corbel" w:cstheme="minorHAnsi"/>
          <w:b/>
          <w:bCs/>
        </w:rPr>
      </w:pPr>
      <w:r>
        <w:rPr>
          <w:rFonts w:eastAsia="Corbel" w:cstheme="minorHAnsi"/>
          <w:b/>
          <w:bCs/>
        </w:rPr>
        <w:t>p</w:t>
      </w:r>
      <w:r w:rsidR="53FD9095" w:rsidRPr="0063685C">
        <w:rPr>
          <w:rFonts w:eastAsia="Corbel" w:cstheme="minorHAnsi"/>
          <w:b/>
          <w:bCs/>
        </w:rPr>
        <w:t>remesso che</w:t>
      </w:r>
      <w:r w:rsidR="5218D20C" w:rsidRPr="0063685C">
        <w:rPr>
          <w:rFonts w:eastAsia="Corbel" w:cstheme="minorHAnsi"/>
          <w:b/>
          <w:bCs/>
        </w:rPr>
        <w:t>:</w:t>
      </w:r>
    </w:p>
    <w:p w:rsidR="00A276AF" w:rsidRPr="00E02447" w:rsidRDefault="002F2B58" w:rsidP="00E02447">
      <w:pPr>
        <w:pStyle w:val="Paragrafoelenco"/>
        <w:numPr>
          <w:ilvl w:val="0"/>
          <w:numId w:val="3"/>
        </w:numPr>
        <w:jc w:val="both"/>
        <w:rPr>
          <w:rFonts w:eastAsiaTheme="minorEastAsia" w:cstheme="minorHAnsi"/>
        </w:rPr>
      </w:pPr>
      <w:r>
        <w:rPr>
          <w:rFonts w:cstheme="minorHAnsi"/>
        </w:rPr>
        <w:t>Lungo la linea ferroviaria Cremona</w:t>
      </w:r>
      <w:r w:rsidR="001B62BA">
        <w:rPr>
          <w:rFonts w:cstheme="minorHAnsi"/>
        </w:rPr>
        <w:t xml:space="preserve"> </w:t>
      </w:r>
      <w:r>
        <w:rPr>
          <w:rFonts w:cstheme="minorHAnsi"/>
        </w:rPr>
        <w:t>- Piacenza non viene più svolto il servizio di trasporto passeggeri dal 15 Dicembre 2013;</w:t>
      </w:r>
    </w:p>
    <w:p w:rsidR="00011C2F" w:rsidRDefault="002F2B58" w:rsidP="10D626B0">
      <w:pPr>
        <w:pStyle w:val="Paragrafoelenco"/>
        <w:numPr>
          <w:ilvl w:val="0"/>
          <w:numId w:val="3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Le città di Cremona e Piacenza rappresentano due realtà con una forte interconnessione economico-commerciale, legata alla loro vicinanza, la quale porta a frequenti spostamenti di persone tra le due città.</w:t>
      </w:r>
    </w:p>
    <w:p w:rsidR="002F2B58" w:rsidRPr="00A276AF" w:rsidRDefault="002F2B58" w:rsidP="10D626B0">
      <w:pPr>
        <w:pStyle w:val="Paragrafoelenco"/>
        <w:numPr>
          <w:ilvl w:val="0"/>
          <w:numId w:val="3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La connessione ferroviaria tra Cremona e Piacenza rappresenta</w:t>
      </w:r>
      <w:r w:rsidR="004C7EBE">
        <w:rPr>
          <w:rFonts w:eastAsiaTheme="minorEastAsia" w:cstheme="minorHAnsi"/>
        </w:rPr>
        <w:t xml:space="preserve"> una tratta di particolare interesse anche a livello regionale</w:t>
      </w:r>
      <w:r w:rsidR="001B62BA">
        <w:rPr>
          <w:rFonts w:eastAsiaTheme="minorEastAsia" w:cstheme="minorHAnsi"/>
        </w:rPr>
        <w:t xml:space="preserve">, in quanto collega </w:t>
      </w:r>
      <w:r w:rsidR="005953BE">
        <w:rPr>
          <w:rFonts w:eastAsiaTheme="minorEastAsia" w:cstheme="minorHAnsi"/>
        </w:rPr>
        <w:t>la</w:t>
      </w:r>
      <w:r w:rsidR="001B62BA">
        <w:rPr>
          <w:rFonts w:eastAsiaTheme="minorEastAsia" w:cstheme="minorHAnsi"/>
        </w:rPr>
        <w:t xml:space="preserve"> Lombardia e </w:t>
      </w:r>
      <w:r w:rsidR="005953BE">
        <w:rPr>
          <w:rFonts w:eastAsiaTheme="minorEastAsia" w:cstheme="minorHAnsi"/>
        </w:rPr>
        <w:t>l’Emilia-Romagna</w:t>
      </w:r>
      <w:r w:rsidR="004C7EBE">
        <w:rPr>
          <w:rFonts w:eastAsiaTheme="minorEastAsia" w:cstheme="minorHAnsi"/>
        </w:rPr>
        <w:t>.</w:t>
      </w:r>
    </w:p>
    <w:p w:rsidR="00F52A31" w:rsidRPr="00F52A31" w:rsidRDefault="5218D20C" w:rsidP="00F52A31">
      <w:pPr>
        <w:rPr>
          <w:rFonts w:eastAsia="Corbel" w:cstheme="minorHAnsi"/>
          <w:b/>
          <w:bCs/>
        </w:rPr>
      </w:pPr>
      <w:r w:rsidRPr="0063685C">
        <w:rPr>
          <w:rFonts w:eastAsia="Corbel" w:cstheme="minorHAnsi"/>
          <w:b/>
          <w:bCs/>
        </w:rPr>
        <w:t>Considerato che:</w:t>
      </w:r>
    </w:p>
    <w:p w:rsidR="002E0335" w:rsidRPr="00E02447" w:rsidRDefault="004C7EBE" w:rsidP="00CC03F0">
      <w:pPr>
        <w:pStyle w:val="Paragrafoelenco"/>
        <w:numPr>
          <w:ilvl w:val="0"/>
          <w:numId w:val="6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La sola tratta tra Cremona e Piacenza interessa un bacino </w:t>
      </w:r>
      <w:r w:rsidR="00F52A31">
        <w:rPr>
          <w:rFonts w:eastAsiaTheme="minorEastAsia" w:cstheme="minorHAnsi"/>
        </w:rPr>
        <w:t xml:space="preserve">d’utenza </w:t>
      </w:r>
      <w:r>
        <w:rPr>
          <w:rFonts w:eastAsiaTheme="minorEastAsia" w:cstheme="minorHAnsi"/>
        </w:rPr>
        <w:t xml:space="preserve">di circa 185.000 persone, ed è stata soppressa nel </w:t>
      </w:r>
      <w:r w:rsidR="00F52A31">
        <w:rPr>
          <w:rFonts w:eastAsiaTheme="minorEastAsia" w:cstheme="minorHAnsi"/>
        </w:rPr>
        <w:t xml:space="preserve">2013 in quanto è stata interamente sostituita </w:t>
      </w:r>
      <w:r w:rsidR="005953BE">
        <w:rPr>
          <w:rFonts w:eastAsiaTheme="minorEastAsia" w:cstheme="minorHAnsi"/>
        </w:rPr>
        <w:t>con il servizio offerto dagli</w:t>
      </w:r>
      <w:r w:rsidR="00F52A31">
        <w:rPr>
          <w:rFonts w:eastAsiaTheme="minorEastAsia" w:cstheme="minorHAnsi"/>
        </w:rPr>
        <w:t xml:space="preserve"> </w:t>
      </w:r>
      <w:r w:rsidR="005953BE">
        <w:rPr>
          <w:rFonts w:eastAsiaTheme="minorEastAsia" w:cstheme="minorHAnsi"/>
        </w:rPr>
        <w:t>autobus, i quali percorrono la tratta impiegando circa 20-30 minuti in più rispetto al tempo impiegato dal treno;</w:t>
      </w:r>
    </w:p>
    <w:p w:rsidR="00E02447" w:rsidRDefault="005953BE" w:rsidP="006C7A7F">
      <w:pPr>
        <w:pStyle w:val="Paragrafoelenco"/>
        <w:numPr>
          <w:ilvl w:val="0"/>
          <w:numId w:val="6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La linea Cremona-Piacenza</w:t>
      </w:r>
      <w:r w:rsidR="00F52A31">
        <w:rPr>
          <w:rFonts w:eastAsiaTheme="minorEastAsia" w:cstheme="minorHAnsi"/>
        </w:rPr>
        <w:t xml:space="preserve"> è una linea elettrificata sulla quale nei primi anni 2000 sono stati svolti investimenti, che la rendono </w:t>
      </w:r>
      <w:r w:rsidR="00BA19BB">
        <w:rPr>
          <w:rFonts w:eastAsiaTheme="minorEastAsia" w:cstheme="minorHAnsi"/>
        </w:rPr>
        <w:t xml:space="preserve">ancora oggi </w:t>
      </w:r>
      <w:r w:rsidR="00F52A31">
        <w:rPr>
          <w:rFonts w:eastAsiaTheme="minorEastAsia" w:cstheme="minorHAnsi"/>
        </w:rPr>
        <w:t>una linea adatta al trasporto ferroviario di passeggeri</w:t>
      </w:r>
      <w:r w:rsidR="00ED68D7">
        <w:rPr>
          <w:rFonts w:eastAsiaTheme="minorEastAsia" w:cstheme="minorHAnsi"/>
        </w:rPr>
        <w:t>,</w:t>
      </w:r>
      <w:r w:rsidR="00BA19BB">
        <w:rPr>
          <w:rFonts w:eastAsiaTheme="minorEastAsia" w:cstheme="minorHAnsi"/>
        </w:rPr>
        <w:t xml:space="preserve"> con</w:t>
      </w:r>
      <w:r>
        <w:rPr>
          <w:rFonts w:eastAsiaTheme="minorEastAsia" w:cstheme="minorHAnsi"/>
        </w:rPr>
        <w:t xml:space="preserve"> un minore impatto ambientale rispetto al trasporto su gomma che è </w:t>
      </w:r>
      <w:r w:rsidR="00BA19BB">
        <w:rPr>
          <w:rFonts w:eastAsiaTheme="minorEastAsia" w:cstheme="minorHAnsi"/>
        </w:rPr>
        <w:t>attualmente</w:t>
      </w:r>
      <w:r>
        <w:rPr>
          <w:rFonts w:eastAsiaTheme="minorEastAsia" w:cstheme="minorHAnsi"/>
        </w:rPr>
        <w:t xml:space="preserve"> l’unica </w:t>
      </w:r>
      <w:r w:rsidR="00986542">
        <w:rPr>
          <w:rFonts w:eastAsiaTheme="minorEastAsia" w:cstheme="minorHAnsi"/>
        </w:rPr>
        <w:t>opzione</w:t>
      </w:r>
      <w:r>
        <w:rPr>
          <w:rFonts w:eastAsiaTheme="minorEastAsia" w:cstheme="minorHAnsi"/>
        </w:rPr>
        <w:t xml:space="preserve"> per i pendolari;</w:t>
      </w:r>
    </w:p>
    <w:p w:rsidR="00ED68D7" w:rsidRDefault="00ED68D7" w:rsidP="006C7A7F">
      <w:pPr>
        <w:pStyle w:val="Paragrafoelenco"/>
        <w:numPr>
          <w:ilvl w:val="0"/>
          <w:numId w:val="6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La riattivazione dell</w:t>
      </w:r>
      <w:r w:rsidR="00C0304A">
        <w:rPr>
          <w:rFonts w:eastAsiaTheme="minorEastAsia" w:cstheme="minorHAnsi"/>
        </w:rPr>
        <w:t>a</w:t>
      </w:r>
      <w:r>
        <w:rPr>
          <w:rFonts w:eastAsiaTheme="minorEastAsia" w:cstheme="minorHAnsi"/>
        </w:rPr>
        <w:t xml:space="preserve"> linea ferroviaria Cremona-Piacenza, per il trasporto di passeggeri, risulta un investimento necessario anche per offrire un</w:t>
      </w:r>
      <w:r w:rsidR="00C0304A">
        <w:rPr>
          <w:rFonts w:eastAsiaTheme="minorEastAsia" w:cstheme="minorHAnsi"/>
        </w:rPr>
        <w:t>’</w:t>
      </w:r>
      <w:r>
        <w:rPr>
          <w:rFonts w:eastAsiaTheme="minorEastAsia" w:cstheme="minorHAnsi"/>
        </w:rPr>
        <w:t>alternativa ai pendolari, nell’ottica dei futuri lavori per il raddoppio della Codogno-Cremona-Mantova;</w:t>
      </w:r>
    </w:p>
    <w:p w:rsidR="00C0304A" w:rsidRPr="005C3A11" w:rsidRDefault="00C0304A" w:rsidP="006C7A7F">
      <w:pPr>
        <w:pStyle w:val="Paragrafoelenco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5C3A11">
        <w:rPr>
          <w:rFonts w:eastAsiaTheme="minorEastAsia" w:cstheme="minorHAnsi"/>
        </w:rPr>
        <w:t>La riattivazione della linea suddetta risulta importante per accompagnare e favorire i percorsi delle due città, che portano avanti progettualità comuni di sviluppo (il Po, i poli universitari ad esempio);</w:t>
      </w:r>
    </w:p>
    <w:p w:rsidR="00E02447" w:rsidRDefault="00F52A31" w:rsidP="006C7A7F">
      <w:pPr>
        <w:pStyle w:val="Paragrafoelenco"/>
        <w:numPr>
          <w:ilvl w:val="0"/>
          <w:numId w:val="6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Insieme alla tratta Brescia-Cremona, la creazione di una tratta Brescia-Cremona-Piacenza, </w:t>
      </w:r>
      <w:r w:rsidR="00ED68D7">
        <w:rPr>
          <w:rFonts w:eastAsiaTheme="minorEastAsia" w:cstheme="minorHAnsi"/>
        </w:rPr>
        <w:t>porterebbe ad un nuovo collegamento con effetti positivi sull’intero territorio regionale, il quale aumenterebbe la propria interconnessione con il sistema ferroviario nazionale;</w:t>
      </w:r>
    </w:p>
    <w:p w:rsidR="00E51254" w:rsidRPr="00E02447" w:rsidRDefault="00E51254" w:rsidP="00ED68D7">
      <w:pPr>
        <w:pStyle w:val="Paragrafoelenco"/>
        <w:jc w:val="both"/>
        <w:rPr>
          <w:rFonts w:eastAsiaTheme="minorEastAsia" w:cstheme="minorHAnsi"/>
        </w:rPr>
      </w:pPr>
    </w:p>
    <w:p w:rsidR="006B0365" w:rsidRDefault="006B0365" w:rsidP="006B0365">
      <w:r w:rsidRPr="003F055F">
        <w:rPr>
          <w:b/>
          <w:bCs/>
        </w:rPr>
        <w:t>Visto</w:t>
      </w:r>
      <w:r w:rsidRPr="003F055F">
        <w:t xml:space="preserve"> il progetto di legge 246 “Bilancio di previsione 2023 – 2025” e relativo documento tecnico di accompagnamento,</w:t>
      </w:r>
    </w:p>
    <w:p w:rsidR="5218D20C" w:rsidRPr="0063685C" w:rsidRDefault="5218D20C" w:rsidP="10D626B0">
      <w:pPr>
        <w:jc w:val="center"/>
        <w:rPr>
          <w:rFonts w:cstheme="minorHAnsi"/>
        </w:rPr>
      </w:pPr>
      <w:r w:rsidRPr="0063685C">
        <w:rPr>
          <w:rFonts w:eastAsia="Corbel" w:cstheme="minorHAnsi"/>
          <w:b/>
          <w:bCs/>
        </w:rPr>
        <w:lastRenderedPageBreak/>
        <w:t>Impegna la Giunta regionale</w:t>
      </w:r>
    </w:p>
    <w:p w:rsidR="5218D20C" w:rsidRDefault="5218D20C" w:rsidP="00491293">
      <w:pPr>
        <w:jc w:val="both"/>
        <w:rPr>
          <w:rFonts w:eastAsia="Corbel" w:cstheme="minorHAnsi"/>
        </w:rPr>
      </w:pPr>
      <w:r w:rsidRPr="0063685C">
        <w:rPr>
          <w:rFonts w:eastAsia="Corbel" w:cstheme="minorHAnsi"/>
        </w:rPr>
        <w:t>a operare nell’ambito del bilancio regionale al fine di</w:t>
      </w:r>
      <w:r w:rsidR="00266E1C" w:rsidRPr="0063685C">
        <w:rPr>
          <w:rFonts w:eastAsia="Corbel" w:cstheme="minorHAnsi"/>
        </w:rPr>
        <w:t xml:space="preserve"> </w:t>
      </w:r>
      <w:r w:rsidR="00BB076C" w:rsidRPr="0063685C">
        <w:rPr>
          <w:rFonts w:eastAsia="Corbel" w:cstheme="minorHAnsi"/>
        </w:rPr>
        <w:t xml:space="preserve">stanziare le risorse necessarie alla realizzazione </w:t>
      </w:r>
      <w:r w:rsidR="00031B46">
        <w:rPr>
          <w:rFonts w:eastAsia="Corbel" w:cstheme="minorHAnsi"/>
        </w:rPr>
        <w:t>dell’intervento</w:t>
      </w:r>
      <w:r w:rsidR="005E3C24">
        <w:rPr>
          <w:rFonts w:eastAsia="Corbel" w:cstheme="minorHAnsi"/>
        </w:rPr>
        <w:t xml:space="preserve"> per l</w:t>
      </w:r>
      <w:r w:rsidR="00ED68D7">
        <w:rPr>
          <w:rFonts w:eastAsia="Corbel" w:cstheme="minorHAnsi"/>
        </w:rPr>
        <w:t>’attivazione della tratta ferroviaria</w:t>
      </w:r>
      <w:r w:rsidR="008D2740">
        <w:rPr>
          <w:rFonts w:eastAsia="Corbel" w:cstheme="minorHAnsi"/>
        </w:rPr>
        <w:t xml:space="preserve"> per il trasporto dei passeggeri</w:t>
      </w:r>
      <w:r w:rsidR="00ED68D7">
        <w:rPr>
          <w:rFonts w:eastAsia="Corbel" w:cstheme="minorHAnsi"/>
        </w:rPr>
        <w:t xml:space="preserve"> </w:t>
      </w:r>
      <w:r w:rsidR="008D2740">
        <w:rPr>
          <w:rFonts w:eastAsia="Corbel" w:cstheme="minorHAnsi"/>
        </w:rPr>
        <w:t>“</w:t>
      </w:r>
      <w:r w:rsidR="00ED68D7">
        <w:rPr>
          <w:rFonts w:eastAsia="Corbel" w:cstheme="minorHAnsi"/>
        </w:rPr>
        <w:t>Brescia-Cremona-Piacenza</w:t>
      </w:r>
      <w:r w:rsidR="008D2740">
        <w:rPr>
          <w:rFonts w:eastAsia="Corbel" w:cstheme="minorHAnsi"/>
        </w:rPr>
        <w:t>”</w:t>
      </w:r>
      <w:r w:rsidR="00ED68D7">
        <w:rPr>
          <w:rFonts w:eastAsia="Corbel" w:cstheme="minorHAnsi"/>
        </w:rPr>
        <w:t>.</w:t>
      </w:r>
    </w:p>
    <w:p w:rsidR="0063685C" w:rsidRDefault="0063685C" w:rsidP="00491293">
      <w:pPr>
        <w:jc w:val="both"/>
        <w:rPr>
          <w:rFonts w:eastAsia="Corbel" w:cstheme="minorHAnsi"/>
        </w:rPr>
      </w:pPr>
    </w:p>
    <w:p w:rsidR="0063685C" w:rsidRPr="0063685C" w:rsidRDefault="0063685C" w:rsidP="00491293">
      <w:pPr>
        <w:jc w:val="both"/>
        <w:rPr>
          <w:rFonts w:eastAsia="Corbel" w:cstheme="minorHAnsi"/>
        </w:rPr>
      </w:pPr>
      <w:r>
        <w:rPr>
          <w:rFonts w:eastAsia="Corbel" w:cstheme="minorHAnsi"/>
        </w:rPr>
        <w:t xml:space="preserve">Milano, </w:t>
      </w:r>
      <w:r w:rsidR="00031B46">
        <w:rPr>
          <w:rFonts w:eastAsia="Corbel" w:cstheme="minorHAnsi"/>
        </w:rPr>
        <w:t>1</w:t>
      </w:r>
      <w:r w:rsidR="00C4674D">
        <w:rPr>
          <w:rFonts w:eastAsia="Corbel" w:cstheme="minorHAnsi"/>
        </w:rPr>
        <w:t>2</w:t>
      </w:r>
      <w:r>
        <w:rPr>
          <w:rFonts w:eastAsia="Corbel" w:cstheme="minorHAnsi"/>
        </w:rPr>
        <w:t xml:space="preserve"> dicembre 202</w:t>
      </w:r>
      <w:r w:rsidR="00436112">
        <w:rPr>
          <w:rFonts w:eastAsia="Corbel" w:cstheme="minorHAnsi"/>
        </w:rPr>
        <w:t>2</w:t>
      </w:r>
    </w:p>
    <w:p w:rsidR="00491293" w:rsidRPr="0063685C" w:rsidRDefault="65104491" w:rsidP="3F1E7858">
      <w:pPr>
        <w:jc w:val="right"/>
        <w:rPr>
          <w:rFonts w:eastAsia="Corbel"/>
        </w:rPr>
      </w:pPr>
      <w:r w:rsidRPr="3F1E7858">
        <w:rPr>
          <w:rFonts w:eastAsia="Corbel"/>
        </w:rPr>
        <w:t>f</w:t>
      </w:r>
      <w:r w:rsidR="00491293" w:rsidRPr="3F1E7858">
        <w:rPr>
          <w:rFonts w:eastAsia="Corbel"/>
        </w:rPr>
        <w:t>.to Matteo Piloni</w:t>
      </w:r>
    </w:p>
    <w:p w:rsidR="10D626B0" w:rsidRPr="0063685C" w:rsidRDefault="10D626B0" w:rsidP="00436112">
      <w:pPr>
        <w:jc w:val="center"/>
        <w:rPr>
          <w:rFonts w:eastAsia="Corbel" w:cstheme="minorHAnsi"/>
          <w:b/>
          <w:bCs/>
        </w:rPr>
      </w:pPr>
    </w:p>
    <w:sectPr w:rsidR="10D626B0" w:rsidRPr="0063685C" w:rsidSect="00E52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B2C" w:rsidRDefault="00D95B2C" w:rsidP="00491293">
      <w:pPr>
        <w:spacing w:after="0" w:line="240" w:lineRule="auto"/>
      </w:pPr>
      <w:r>
        <w:separator/>
      </w:r>
    </w:p>
  </w:endnote>
  <w:endnote w:type="continuationSeparator" w:id="0">
    <w:p w:rsidR="00D95B2C" w:rsidRDefault="00D95B2C" w:rsidP="004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B2C" w:rsidRDefault="00D95B2C" w:rsidP="00491293">
      <w:pPr>
        <w:spacing w:after="0" w:line="240" w:lineRule="auto"/>
      </w:pPr>
      <w:r>
        <w:separator/>
      </w:r>
    </w:p>
  </w:footnote>
  <w:footnote w:type="continuationSeparator" w:id="0">
    <w:p w:rsidR="00D95B2C" w:rsidRDefault="00D95B2C" w:rsidP="00491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16D"/>
    <w:multiLevelType w:val="hybridMultilevel"/>
    <w:tmpl w:val="8222FBA8"/>
    <w:lvl w:ilvl="0" w:tplc="E26E1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8F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AD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E0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09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6E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C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05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8B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035E"/>
    <w:multiLevelType w:val="hybridMultilevel"/>
    <w:tmpl w:val="D1205964"/>
    <w:lvl w:ilvl="0" w:tplc="6EE0FF1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21A80"/>
    <w:multiLevelType w:val="hybridMultilevel"/>
    <w:tmpl w:val="FFFFFFFF"/>
    <w:lvl w:ilvl="0" w:tplc="9026A8F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D80867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67C810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596793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76ABE0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5D64A0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988E0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8234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0E632F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D73041"/>
    <w:multiLevelType w:val="hybridMultilevel"/>
    <w:tmpl w:val="882C6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15C92"/>
    <w:multiLevelType w:val="hybridMultilevel"/>
    <w:tmpl w:val="7F7C1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073EE"/>
    <w:multiLevelType w:val="hybridMultilevel"/>
    <w:tmpl w:val="8D1273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7741C9"/>
    <w:multiLevelType w:val="hybridMultilevel"/>
    <w:tmpl w:val="DB026CD0"/>
    <w:lvl w:ilvl="0" w:tplc="EE34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29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44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8D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CA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01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2C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A7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63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766E5"/>
    <w:multiLevelType w:val="hybridMultilevel"/>
    <w:tmpl w:val="FFFFFFFF"/>
    <w:lvl w:ilvl="0" w:tplc="6D1E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A8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6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6A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07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1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E0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2F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65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FAB"/>
    <w:rsid w:val="00011C2F"/>
    <w:rsid w:val="000170EB"/>
    <w:rsid w:val="00031B46"/>
    <w:rsid w:val="00052990"/>
    <w:rsid w:val="000637CB"/>
    <w:rsid w:val="00097176"/>
    <w:rsid w:val="000B4969"/>
    <w:rsid w:val="000D3322"/>
    <w:rsid w:val="000E2D02"/>
    <w:rsid w:val="001030CD"/>
    <w:rsid w:val="00154A75"/>
    <w:rsid w:val="001B62BA"/>
    <w:rsid w:val="001F78CF"/>
    <w:rsid w:val="00266E1C"/>
    <w:rsid w:val="002756EB"/>
    <w:rsid w:val="002B1BB8"/>
    <w:rsid w:val="002C65C2"/>
    <w:rsid w:val="002E0335"/>
    <w:rsid w:val="002F2B58"/>
    <w:rsid w:val="00303330"/>
    <w:rsid w:val="0031302F"/>
    <w:rsid w:val="00341BBB"/>
    <w:rsid w:val="0036146A"/>
    <w:rsid w:val="00363A39"/>
    <w:rsid w:val="00381F4D"/>
    <w:rsid w:val="0039285A"/>
    <w:rsid w:val="003931F2"/>
    <w:rsid w:val="003E4296"/>
    <w:rsid w:val="003F374F"/>
    <w:rsid w:val="004151B3"/>
    <w:rsid w:val="00436112"/>
    <w:rsid w:val="00491293"/>
    <w:rsid w:val="004A36FD"/>
    <w:rsid w:val="004C7EBE"/>
    <w:rsid w:val="004F143D"/>
    <w:rsid w:val="005227BC"/>
    <w:rsid w:val="00522C97"/>
    <w:rsid w:val="00560895"/>
    <w:rsid w:val="0059331E"/>
    <w:rsid w:val="00595113"/>
    <w:rsid w:val="005953BE"/>
    <w:rsid w:val="005C3A11"/>
    <w:rsid w:val="005E3C24"/>
    <w:rsid w:val="00616FAB"/>
    <w:rsid w:val="0063685C"/>
    <w:rsid w:val="00644A58"/>
    <w:rsid w:val="006537AD"/>
    <w:rsid w:val="006B0365"/>
    <w:rsid w:val="006C7A7F"/>
    <w:rsid w:val="007332A8"/>
    <w:rsid w:val="00734F54"/>
    <w:rsid w:val="00735F02"/>
    <w:rsid w:val="0075125F"/>
    <w:rsid w:val="00764453"/>
    <w:rsid w:val="00786C6E"/>
    <w:rsid w:val="00797857"/>
    <w:rsid w:val="007B31D1"/>
    <w:rsid w:val="007D248B"/>
    <w:rsid w:val="007E56A0"/>
    <w:rsid w:val="007F0CF4"/>
    <w:rsid w:val="007F5673"/>
    <w:rsid w:val="00826D15"/>
    <w:rsid w:val="00857CEE"/>
    <w:rsid w:val="00875052"/>
    <w:rsid w:val="00891554"/>
    <w:rsid w:val="008949DF"/>
    <w:rsid w:val="008A69C0"/>
    <w:rsid w:val="008D04CB"/>
    <w:rsid w:val="008D2740"/>
    <w:rsid w:val="008D7DDC"/>
    <w:rsid w:val="00902A7D"/>
    <w:rsid w:val="00910A9D"/>
    <w:rsid w:val="00956C1E"/>
    <w:rsid w:val="00962544"/>
    <w:rsid w:val="00970A3E"/>
    <w:rsid w:val="00986542"/>
    <w:rsid w:val="00990009"/>
    <w:rsid w:val="009B42C2"/>
    <w:rsid w:val="009F7B7A"/>
    <w:rsid w:val="00A063A8"/>
    <w:rsid w:val="00A14DB4"/>
    <w:rsid w:val="00A276AF"/>
    <w:rsid w:val="00A32130"/>
    <w:rsid w:val="00A40C6E"/>
    <w:rsid w:val="00A561F7"/>
    <w:rsid w:val="00A84777"/>
    <w:rsid w:val="00B27C2A"/>
    <w:rsid w:val="00B53621"/>
    <w:rsid w:val="00B57ACD"/>
    <w:rsid w:val="00B57DF4"/>
    <w:rsid w:val="00B7039F"/>
    <w:rsid w:val="00BA19BB"/>
    <w:rsid w:val="00BB076C"/>
    <w:rsid w:val="00BB43B8"/>
    <w:rsid w:val="00BF6028"/>
    <w:rsid w:val="00BF6B99"/>
    <w:rsid w:val="00C0304A"/>
    <w:rsid w:val="00C0492F"/>
    <w:rsid w:val="00C24736"/>
    <w:rsid w:val="00C4674D"/>
    <w:rsid w:val="00C46B71"/>
    <w:rsid w:val="00C84B95"/>
    <w:rsid w:val="00C858F4"/>
    <w:rsid w:val="00C94139"/>
    <w:rsid w:val="00C967B3"/>
    <w:rsid w:val="00CC03F0"/>
    <w:rsid w:val="00CD0B96"/>
    <w:rsid w:val="00CE725C"/>
    <w:rsid w:val="00CF0195"/>
    <w:rsid w:val="00D01017"/>
    <w:rsid w:val="00D303F1"/>
    <w:rsid w:val="00D912DA"/>
    <w:rsid w:val="00D95B2C"/>
    <w:rsid w:val="00DD2F9C"/>
    <w:rsid w:val="00DE22EF"/>
    <w:rsid w:val="00DE5B0D"/>
    <w:rsid w:val="00E02447"/>
    <w:rsid w:val="00E04B66"/>
    <w:rsid w:val="00E22175"/>
    <w:rsid w:val="00E51254"/>
    <w:rsid w:val="00E523FB"/>
    <w:rsid w:val="00E603A9"/>
    <w:rsid w:val="00E66244"/>
    <w:rsid w:val="00ED3C2C"/>
    <w:rsid w:val="00ED68D7"/>
    <w:rsid w:val="00F52A31"/>
    <w:rsid w:val="00F57D71"/>
    <w:rsid w:val="00FB15CC"/>
    <w:rsid w:val="00FC32A0"/>
    <w:rsid w:val="00FF4E83"/>
    <w:rsid w:val="00FF7E13"/>
    <w:rsid w:val="02CA26F1"/>
    <w:rsid w:val="040677FC"/>
    <w:rsid w:val="098ED0ED"/>
    <w:rsid w:val="10D626B0"/>
    <w:rsid w:val="115E7BB5"/>
    <w:rsid w:val="12383D4D"/>
    <w:rsid w:val="1EE395CA"/>
    <w:rsid w:val="20CB0473"/>
    <w:rsid w:val="226753F1"/>
    <w:rsid w:val="2679B185"/>
    <w:rsid w:val="295461EB"/>
    <w:rsid w:val="2C185B1B"/>
    <w:rsid w:val="37154801"/>
    <w:rsid w:val="3F1E7858"/>
    <w:rsid w:val="3F2458A9"/>
    <w:rsid w:val="4369338C"/>
    <w:rsid w:val="440A3103"/>
    <w:rsid w:val="44907A81"/>
    <w:rsid w:val="51C1FB8E"/>
    <w:rsid w:val="51FD4B2E"/>
    <w:rsid w:val="5218D20C"/>
    <w:rsid w:val="529D042E"/>
    <w:rsid w:val="53FD9095"/>
    <w:rsid w:val="5780B745"/>
    <w:rsid w:val="612C5EE8"/>
    <w:rsid w:val="63781EAA"/>
    <w:rsid w:val="65104491"/>
    <w:rsid w:val="65E1E251"/>
    <w:rsid w:val="72FCB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F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2A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1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293"/>
  </w:style>
  <w:style w:type="paragraph" w:styleId="Pidipagina">
    <w:name w:val="footer"/>
    <w:basedOn w:val="Normale"/>
    <w:link w:val="PidipaginaCarattere"/>
    <w:uiPriority w:val="99"/>
    <w:unhideWhenUsed/>
    <w:rsid w:val="00491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2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onsiglio.regione.lombard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Tonino Lamborghini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Guarisco Gabriele</dc:creator>
  <cp:lastModifiedBy>utente2</cp:lastModifiedBy>
  <cp:revision>2</cp:revision>
  <cp:lastPrinted>2022-12-01T15:32:00Z</cp:lastPrinted>
  <dcterms:created xsi:type="dcterms:W3CDTF">2022-12-16T14:54:00Z</dcterms:created>
  <dcterms:modified xsi:type="dcterms:W3CDTF">2022-12-16T14:54:00Z</dcterms:modified>
</cp:coreProperties>
</file>